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E3D08" w14:textId="77777777" w:rsidR="004B0997" w:rsidRPr="005E137D" w:rsidRDefault="004B0997" w:rsidP="005E137D">
      <w:pPr>
        <w:spacing w:line="276" w:lineRule="auto"/>
        <w:rPr>
          <w:rFonts w:asciiTheme="majorHAnsi" w:hAnsiTheme="majorHAnsi"/>
          <w:b/>
          <w:sz w:val="22"/>
          <w:szCs w:val="22"/>
        </w:rPr>
      </w:pPr>
      <w:r w:rsidRPr="005E137D">
        <w:rPr>
          <w:rFonts w:asciiTheme="majorHAnsi" w:hAnsiTheme="majorHAnsi"/>
          <w:b/>
          <w:sz w:val="22"/>
          <w:szCs w:val="22"/>
        </w:rPr>
        <w:t>What did you do?</w:t>
      </w:r>
    </w:p>
    <w:p w14:paraId="06785944" w14:textId="77777777" w:rsidR="004B0997" w:rsidRPr="005E137D" w:rsidRDefault="004B0997" w:rsidP="005E137D">
      <w:pPr>
        <w:pStyle w:val="NormalWeb"/>
        <w:spacing w:before="0" w:beforeAutospacing="0" w:after="0" w:afterAutospacing="0" w:line="276" w:lineRule="auto"/>
        <w:textAlignment w:val="baseline"/>
        <w:rPr>
          <w:rFonts w:asciiTheme="majorHAnsi" w:hAnsiTheme="majorHAnsi" w:cs="Arial"/>
          <w:sz w:val="22"/>
          <w:szCs w:val="22"/>
        </w:rPr>
      </w:pPr>
      <w:r w:rsidRPr="005E137D">
        <w:rPr>
          <w:rFonts w:asciiTheme="majorHAnsi" w:hAnsiTheme="majorHAnsi" w:cs="Arial"/>
          <w:sz w:val="22"/>
          <w:szCs w:val="22"/>
        </w:rPr>
        <w:t xml:space="preserve">We incorporated </w:t>
      </w:r>
      <w:proofErr w:type="spellStart"/>
      <w:r w:rsidRPr="005E137D">
        <w:rPr>
          <w:rFonts w:asciiTheme="majorHAnsi" w:hAnsiTheme="majorHAnsi" w:cs="Arial"/>
          <w:sz w:val="22"/>
          <w:szCs w:val="22"/>
        </w:rPr>
        <w:t>SimMan</w:t>
      </w:r>
      <w:proofErr w:type="spellEnd"/>
      <w:r w:rsidRPr="005E137D">
        <w:rPr>
          <w:rFonts w:asciiTheme="majorHAnsi" w:hAnsiTheme="majorHAnsi" w:cs="Arial"/>
          <w:sz w:val="22"/>
          <w:szCs w:val="22"/>
        </w:rPr>
        <w:t xml:space="preserve"> into pre-clinical pharmacology teaching, to build a deeper level of understanding of the subject and place the patient at the heart of the learning experience. </w:t>
      </w:r>
      <w:proofErr w:type="spellStart"/>
      <w:r w:rsidRPr="005E137D">
        <w:rPr>
          <w:rFonts w:asciiTheme="majorHAnsi" w:hAnsiTheme="majorHAnsi" w:cs="Arial"/>
          <w:sz w:val="22"/>
          <w:szCs w:val="22"/>
        </w:rPr>
        <w:t>SimMan</w:t>
      </w:r>
      <w:proofErr w:type="spellEnd"/>
      <w:r w:rsidRPr="005E137D">
        <w:rPr>
          <w:rFonts w:asciiTheme="majorHAnsi" w:hAnsiTheme="majorHAnsi" w:cs="Arial"/>
          <w:sz w:val="22"/>
          <w:szCs w:val="22"/>
        </w:rPr>
        <w:t xml:space="preserve"> is a high-fidelity patient simulator who can be programmed to display a wide range of physiological and pathophysiological signs and respond appropriately to treatment, be it physical e.g. cardiopulmonary resuscitation or therapeutic e.g. administration of drugs. I designed simulations to be delivered en masse to the whole year group. Using this approach we had to mitigate a potential lack of engagement from the whole class if only the tutor and/or a few students controlled the scenario.</w:t>
      </w:r>
    </w:p>
    <w:p w14:paraId="520534D5" w14:textId="77777777" w:rsidR="004B0997" w:rsidRPr="005E137D" w:rsidRDefault="004B0997" w:rsidP="005E137D">
      <w:pPr>
        <w:spacing w:line="276" w:lineRule="auto"/>
        <w:rPr>
          <w:rFonts w:asciiTheme="majorHAnsi" w:hAnsiTheme="majorHAnsi" w:cs="Times"/>
          <w:sz w:val="22"/>
          <w:szCs w:val="22"/>
          <w:lang w:val="en-US"/>
        </w:rPr>
      </w:pPr>
    </w:p>
    <w:p w14:paraId="2CC8B2E3" w14:textId="77777777" w:rsidR="004B0997" w:rsidRPr="005E137D" w:rsidRDefault="004B0997" w:rsidP="005E137D">
      <w:pPr>
        <w:spacing w:line="276" w:lineRule="auto"/>
        <w:rPr>
          <w:rFonts w:asciiTheme="majorHAnsi" w:hAnsiTheme="majorHAnsi" w:cs="Times"/>
          <w:b/>
          <w:sz w:val="22"/>
          <w:szCs w:val="22"/>
          <w:lang w:val="en-US"/>
        </w:rPr>
      </w:pPr>
      <w:r w:rsidRPr="005E137D">
        <w:rPr>
          <w:rFonts w:asciiTheme="majorHAnsi" w:hAnsiTheme="majorHAnsi" w:cs="Times"/>
          <w:b/>
          <w:sz w:val="22"/>
          <w:szCs w:val="22"/>
          <w:lang w:val="en-US"/>
        </w:rPr>
        <w:t>Who is involved?</w:t>
      </w:r>
    </w:p>
    <w:p w14:paraId="2A836A56" w14:textId="77777777" w:rsidR="004B0997" w:rsidRPr="005E137D" w:rsidRDefault="004B0997" w:rsidP="005E137D">
      <w:pPr>
        <w:spacing w:line="276" w:lineRule="auto"/>
        <w:rPr>
          <w:rFonts w:asciiTheme="majorHAnsi" w:hAnsiTheme="majorHAnsi" w:cs="Arial"/>
          <w:sz w:val="22"/>
          <w:szCs w:val="22"/>
        </w:rPr>
      </w:pPr>
      <w:r w:rsidRPr="005E137D">
        <w:rPr>
          <w:rFonts w:asciiTheme="majorHAnsi" w:hAnsiTheme="majorHAnsi" w:cs="Arial"/>
          <w:sz w:val="22"/>
          <w:szCs w:val="22"/>
        </w:rPr>
        <w:t xml:space="preserve">Stage 1 and 2 MBBS (Medicine) students at Newcastle University. Clare </w:t>
      </w:r>
      <w:proofErr w:type="spellStart"/>
      <w:r w:rsidRPr="005E137D">
        <w:rPr>
          <w:rFonts w:asciiTheme="majorHAnsi" w:hAnsiTheme="majorHAnsi" w:cs="Arial"/>
          <w:sz w:val="22"/>
          <w:szCs w:val="22"/>
        </w:rPr>
        <w:t>Guilding</w:t>
      </w:r>
      <w:proofErr w:type="spellEnd"/>
      <w:r w:rsidRPr="005E137D">
        <w:rPr>
          <w:rFonts w:asciiTheme="majorHAnsi" w:hAnsiTheme="majorHAnsi" w:cs="Arial"/>
          <w:sz w:val="22"/>
          <w:szCs w:val="22"/>
        </w:rPr>
        <w:t xml:space="preserve"> runs the sessions with help from colleagues, including Jo </w:t>
      </w:r>
      <w:proofErr w:type="spellStart"/>
      <w:r w:rsidRPr="005E137D">
        <w:rPr>
          <w:rFonts w:asciiTheme="majorHAnsi" w:hAnsiTheme="majorHAnsi" w:cs="Arial"/>
          <w:sz w:val="22"/>
          <w:szCs w:val="22"/>
        </w:rPr>
        <w:t>Matthan</w:t>
      </w:r>
      <w:proofErr w:type="spellEnd"/>
      <w:r w:rsidRPr="005E137D">
        <w:rPr>
          <w:rFonts w:asciiTheme="majorHAnsi" w:hAnsiTheme="majorHAnsi" w:cs="Arial"/>
          <w:sz w:val="22"/>
          <w:szCs w:val="22"/>
        </w:rPr>
        <w:t xml:space="preserve"> and Eimear Fagan (both School of Medical Education), plus a variety of clinical teaching fellows on rotation in the School.  Garry Mackenzie provides excellent technical assistance in writing up </w:t>
      </w:r>
      <w:proofErr w:type="spellStart"/>
      <w:r w:rsidRPr="005E137D">
        <w:rPr>
          <w:rFonts w:asciiTheme="majorHAnsi" w:hAnsiTheme="majorHAnsi" w:cs="Arial"/>
          <w:sz w:val="22"/>
          <w:szCs w:val="22"/>
        </w:rPr>
        <w:t>SimMan</w:t>
      </w:r>
      <w:proofErr w:type="spellEnd"/>
      <w:r w:rsidRPr="005E137D">
        <w:rPr>
          <w:rFonts w:asciiTheme="majorHAnsi" w:hAnsiTheme="majorHAnsi" w:cs="Arial"/>
          <w:sz w:val="22"/>
          <w:szCs w:val="22"/>
        </w:rPr>
        <w:t xml:space="preserve"> and all associated technology in the lecture theatre.</w:t>
      </w:r>
    </w:p>
    <w:p w14:paraId="0E931DBE" w14:textId="77777777" w:rsidR="004B0997" w:rsidRPr="005E137D" w:rsidRDefault="004B0997" w:rsidP="005E137D">
      <w:pPr>
        <w:spacing w:line="276" w:lineRule="auto"/>
        <w:rPr>
          <w:rFonts w:asciiTheme="majorHAnsi" w:hAnsiTheme="majorHAnsi" w:cs="Times"/>
          <w:sz w:val="22"/>
          <w:szCs w:val="22"/>
          <w:lang w:val="en-US"/>
        </w:rPr>
      </w:pPr>
    </w:p>
    <w:p w14:paraId="3CE8B3DA" w14:textId="77777777" w:rsidR="004B0997" w:rsidRPr="005E137D" w:rsidRDefault="004B0997" w:rsidP="005E137D">
      <w:pPr>
        <w:spacing w:line="276" w:lineRule="auto"/>
        <w:rPr>
          <w:rFonts w:asciiTheme="majorHAnsi" w:hAnsiTheme="majorHAnsi" w:cs="Times"/>
          <w:b/>
          <w:sz w:val="22"/>
          <w:szCs w:val="22"/>
          <w:lang w:val="en-US"/>
        </w:rPr>
      </w:pPr>
      <w:r w:rsidRPr="005E137D">
        <w:rPr>
          <w:rFonts w:asciiTheme="majorHAnsi" w:hAnsiTheme="majorHAnsi" w:cs="Times"/>
          <w:b/>
          <w:sz w:val="22"/>
          <w:szCs w:val="22"/>
          <w:lang w:val="en-US"/>
        </w:rPr>
        <w:t>How do you do it?</w:t>
      </w:r>
    </w:p>
    <w:p w14:paraId="46488404" w14:textId="77777777" w:rsidR="004B0997" w:rsidRDefault="004B0997" w:rsidP="005E137D">
      <w:pPr>
        <w:pStyle w:val="NormalWeb"/>
        <w:spacing w:before="0" w:beforeAutospacing="0" w:after="0" w:afterAutospacing="0" w:line="276" w:lineRule="auto"/>
        <w:textAlignment w:val="baseline"/>
        <w:rPr>
          <w:rFonts w:asciiTheme="majorHAnsi" w:hAnsiTheme="majorHAnsi" w:cs="Arial"/>
          <w:sz w:val="22"/>
          <w:szCs w:val="22"/>
        </w:rPr>
      </w:pPr>
      <w:r w:rsidRPr="005E137D">
        <w:rPr>
          <w:rFonts w:asciiTheme="majorHAnsi" w:hAnsiTheme="majorHAnsi" w:cs="Arial"/>
          <w:sz w:val="22"/>
          <w:szCs w:val="22"/>
        </w:rPr>
        <w:t xml:space="preserve">I created a range of interactive simulated medical emergencies for delivery in the lecture theatre. All scenarios run for approximately 15 minutes within traditional 1 hour lecture slots.  To enable the entire class to engage in clinical decision-making, split-screen and interactive voting technologies are employed. One of the screens projects the physiological readouts from </w:t>
      </w:r>
      <w:proofErr w:type="spellStart"/>
      <w:r w:rsidRPr="005E137D">
        <w:rPr>
          <w:rFonts w:asciiTheme="majorHAnsi" w:hAnsiTheme="majorHAnsi" w:cs="Arial"/>
          <w:sz w:val="22"/>
          <w:szCs w:val="22"/>
        </w:rPr>
        <w:t>SimMan</w:t>
      </w:r>
      <w:proofErr w:type="spellEnd"/>
      <w:r w:rsidRPr="005E137D">
        <w:rPr>
          <w:rFonts w:asciiTheme="majorHAnsi" w:hAnsiTheme="majorHAnsi" w:cs="Arial"/>
          <w:sz w:val="22"/>
          <w:szCs w:val="22"/>
        </w:rPr>
        <w:t xml:space="preserve"> such as his blood pressure, ECG heart trace and oxygen saturation; the other screen is linked to a </w:t>
      </w:r>
      <w:proofErr w:type="spellStart"/>
      <w:r w:rsidRPr="005E137D">
        <w:rPr>
          <w:rFonts w:asciiTheme="majorHAnsi" w:hAnsiTheme="majorHAnsi" w:cs="Arial"/>
          <w:sz w:val="22"/>
          <w:szCs w:val="22"/>
        </w:rPr>
        <w:t>TurningPoint</w:t>
      </w:r>
      <w:proofErr w:type="spellEnd"/>
      <w:r w:rsidRPr="005E137D">
        <w:rPr>
          <w:rFonts w:asciiTheme="majorHAnsi" w:hAnsiTheme="majorHAnsi" w:cs="Arial"/>
          <w:sz w:val="22"/>
          <w:szCs w:val="22"/>
        </w:rPr>
        <w:t xml:space="preserve"> interactive quiz. Each student is supplied with a </w:t>
      </w:r>
      <w:proofErr w:type="spellStart"/>
      <w:r w:rsidRPr="005E137D">
        <w:rPr>
          <w:rFonts w:asciiTheme="majorHAnsi" w:hAnsiTheme="majorHAnsi" w:cs="Arial"/>
          <w:sz w:val="22"/>
          <w:szCs w:val="22"/>
        </w:rPr>
        <w:t>TurningPoint</w:t>
      </w:r>
      <w:proofErr w:type="spellEnd"/>
      <w:r w:rsidRPr="005E137D">
        <w:rPr>
          <w:rFonts w:asciiTheme="majorHAnsi" w:hAnsiTheme="majorHAnsi" w:cs="Arial"/>
          <w:sz w:val="22"/>
          <w:szCs w:val="22"/>
        </w:rPr>
        <w:t xml:space="preserve"> handset and at a series of key clinical points throughout the scenario the students are asked to vote individually and anonymously on the most appropriate course of action (e.g. initial patient management steps, which drug should be administered). The option with the most votes, (whether or not this was the correct management option) is applied to </w:t>
      </w:r>
      <w:proofErr w:type="spellStart"/>
      <w:r w:rsidRPr="005E137D">
        <w:rPr>
          <w:rFonts w:asciiTheme="majorHAnsi" w:hAnsiTheme="majorHAnsi" w:cs="Arial"/>
          <w:sz w:val="22"/>
          <w:szCs w:val="22"/>
        </w:rPr>
        <w:t>SimMan</w:t>
      </w:r>
      <w:proofErr w:type="spellEnd"/>
      <w:r w:rsidRPr="005E137D">
        <w:rPr>
          <w:rFonts w:asciiTheme="majorHAnsi" w:hAnsiTheme="majorHAnsi" w:cs="Arial"/>
          <w:sz w:val="22"/>
          <w:szCs w:val="22"/>
        </w:rPr>
        <w:t xml:space="preserve"> and the students then observe the physiological effects this has in real time. </w:t>
      </w:r>
    </w:p>
    <w:p w14:paraId="66FD74C7" w14:textId="77777777" w:rsidR="005E137D" w:rsidRPr="005E137D" w:rsidRDefault="005E137D" w:rsidP="005E137D">
      <w:pPr>
        <w:pStyle w:val="NormalWeb"/>
        <w:spacing w:before="0" w:beforeAutospacing="0" w:after="0" w:afterAutospacing="0" w:line="276" w:lineRule="auto"/>
        <w:textAlignment w:val="baseline"/>
        <w:rPr>
          <w:rFonts w:asciiTheme="majorHAnsi" w:hAnsiTheme="majorHAnsi" w:cs="Arial"/>
          <w:sz w:val="22"/>
          <w:szCs w:val="22"/>
        </w:rPr>
      </w:pPr>
    </w:p>
    <w:p w14:paraId="2475E2A4" w14:textId="02761C64" w:rsidR="004B0997" w:rsidRPr="005E137D" w:rsidRDefault="004B0997" w:rsidP="005E137D">
      <w:pPr>
        <w:spacing w:line="276" w:lineRule="auto"/>
        <w:rPr>
          <w:rFonts w:asciiTheme="majorHAnsi" w:hAnsiTheme="majorHAnsi" w:cs="Arial"/>
          <w:sz w:val="22"/>
          <w:szCs w:val="22"/>
        </w:rPr>
      </w:pPr>
      <w:r w:rsidRPr="005E137D">
        <w:rPr>
          <w:rFonts w:asciiTheme="majorHAnsi" w:hAnsiTheme="majorHAnsi" w:cs="Arial"/>
          <w:sz w:val="22"/>
          <w:szCs w:val="22"/>
        </w:rPr>
        <w:t xml:space="preserve">Scenarios developed and delivered to date include an acute asthma attack and anaphylaxis. Clinical teaching fellows portray the emergency doctors, paramedics and nurses. A microphone is attached to </w:t>
      </w:r>
      <w:proofErr w:type="spellStart"/>
      <w:r w:rsidRPr="005E137D">
        <w:rPr>
          <w:rFonts w:asciiTheme="majorHAnsi" w:hAnsiTheme="majorHAnsi" w:cs="Arial"/>
          <w:sz w:val="22"/>
          <w:szCs w:val="22"/>
        </w:rPr>
        <w:t>SimMan</w:t>
      </w:r>
      <w:proofErr w:type="spellEnd"/>
      <w:r w:rsidRPr="005E137D">
        <w:rPr>
          <w:rFonts w:asciiTheme="majorHAnsi" w:hAnsiTheme="majorHAnsi" w:cs="Arial"/>
          <w:sz w:val="22"/>
          <w:szCs w:val="22"/>
        </w:rPr>
        <w:t xml:space="preserve"> to project his breathing throughout the lecture theatre and a colleague off-stage provid</w:t>
      </w:r>
      <w:r w:rsidR="006078CC">
        <w:rPr>
          <w:rFonts w:asciiTheme="majorHAnsi" w:hAnsiTheme="majorHAnsi" w:cs="Arial"/>
          <w:sz w:val="22"/>
          <w:szCs w:val="22"/>
        </w:rPr>
        <w:t>e</w:t>
      </w:r>
      <w:r w:rsidRPr="005E137D">
        <w:rPr>
          <w:rFonts w:asciiTheme="majorHAnsi" w:hAnsiTheme="majorHAnsi" w:cs="Arial"/>
          <w:sz w:val="22"/>
          <w:szCs w:val="22"/>
        </w:rPr>
        <w:t xml:space="preserve">s a voice for </w:t>
      </w:r>
      <w:proofErr w:type="spellStart"/>
      <w:r w:rsidRPr="005E137D">
        <w:rPr>
          <w:rFonts w:asciiTheme="majorHAnsi" w:hAnsiTheme="majorHAnsi" w:cs="Arial"/>
          <w:sz w:val="22"/>
          <w:szCs w:val="22"/>
        </w:rPr>
        <w:t>SimMan</w:t>
      </w:r>
      <w:proofErr w:type="spellEnd"/>
      <w:r w:rsidRPr="005E137D">
        <w:rPr>
          <w:rFonts w:asciiTheme="majorHAnsi" w:hAnsiTheme="majorHAnsi" w:cs="Arial"/>
          <w:sz w:val="22"/>
          <w:szCs w:val="22"/>
        </w:rPr>
        <w:t xml:space="preserve"> in response to questioning. The simulations are followed by a short debrief in class where the consequences of the choices were explained along with explanations as to the correct course of action. A detailed debrief handout is distributed to support independent and further study.</w:t>
      </w:r>
    </w:p>
    <w:p w14:paraId="59847A14" w14:textId="77777777" w:rsidR="004B0997" w:rsidRPr="005E137D" w:rsidRDefault="004B0997" w:rsidP="005E137D">
      <w:pPr>
        <w:spacing w:line="276" w:lineRule="auto"/>
        <w:rPr>
          <w:rFonts w:asciiTheme="majorHAnsi" w:hAnsiTheme="majorHAnsi" w:cs="Times"/>
          <w:sz w:val="22"/>
          <w:szCs w:val="22"/>
          <w:lang w:val="en-US"/>
        </w:rPr>
      </w:pPr>
    </w:p>
    <w:p w14:paraId="4A4C3C90" w14:textId="77777777" w:rsidR="004B0997" w:rsidRPr="005E137D" w:rsidRDefault="004B0997" w:rsidP="005E137D">
      <w:pPr>
        <w:spacing w:line="276" w:lineRule="auto"/>
        <w:rPr>
          <w:rFonts w:asciiTheme="majorHAnsi" w:hAnsiTheme="majorHAnsi" w:cs="Times"/>
          <w:b/>
          <w:sz w:val="22"/>
          <w:szCs w:val="22"/>
          <w:lang w:val="en-US"/>
        </w:rPr>
      </w:pPr>
      <w:r w:rsidRPr="005E137D">
        <w:rPr>
          <w:rFonts w:asciiTheme="majorHAnsi" w:hAnsiTheme="majorHAnsi" w:cs="Times"/>
          <w:b/>
          <w:sz w:val="22"/>
          <w:szCs w:val="22"/>
          <w:lang w:val="en-US"/>
        </w:rPr>
        <w:t>Why do you do it?</w:t>
      </w:r>
    </w:p>
    <w:p w14:paraId="69BC3E58" w14:textId="77777777" w:rsidR="004B0997" w:rsidRPr="005E137D" w:rsidRDefault="004B0997" w:rsidP="005E137D">
      <w:pPr>
        <w:spacing w:line="276" w:lineRule="auto"/>
        <w:rPr>
          <w:rFonts w:asciiTheme="majorHAnsi" w:hAnsiTheme="majorHAnsi" w:cs="Arial"/>
          <w:sz w:val="22"/>
          <w:szCs w:val="22"/>
        </w:rPr>
      </w:pPr>
      <w:r w:rsidRPr="005E137D">
        <w:rPr>
          <w:rFonts w:asciiTheme="majorHAnsi" w:hAnsiTheme="majorHAnsi" w:cs="Arial"/>
          <w:sz w:val="22"/>
          <w:szCs w:val="22"/>
        </w:rPr>
        <w:t>High-fidelity patient simulation provides a unique opportunity for students to apply learned principles in a safe, controlled learning environment, and can encourage a deeper level of understanding through active and experiential learning.</w:t>
      </w:r>
    </w:p>
    <w:p w14:paraId="75B0B498" w14:textId="77777777" w:rsidR="004B0997" w:rsidRPr="005E137D" w:rsidRDefault="004B0997" w:rsidP="005E137D">
      <w:pPr>
        <w:spacing w:line="276" w:lineRule="auto"/>
        <w:rPr>
          <w:rFonts w:asciiTheme="majorHAnsi" w:hAnsiTheme="majorHAnsi" w:cs="Times"/>
          <w:sz w:val="22"/>
          <w:szCs w:val="22"/>
          <w:lang w:val="en-US"/>
        </w:rPr>
      </w:pPr>
    </w:p>
    <w:p w14:paraId="170D2A60" w14:textId="77777777" w:rsidR="004B0997" w:rsidRPr="005E137D" w:rsidRDefault="004B0997" w:rsidP="005E137D">
      <w:pPr>
        <w:spacing w:line="276" w:lineRule="auto"/>
        <w:rPr>
          <w:rFonts w:asciiTheme="majorHAnsi" w:hAnsiTheme="majorHAnsi" w:cs="Times"/>
          <w:b/>
          <w:sz w:val="22"/>
          <w:szCs w:val="22"/>
          <w:lang w:val="en-US"/>
        </w:rPr>
      </w:pPr>
      <w:r w:rsidRPr="005E137D">
        <w:rPr>
          <w:rFonts w:asciiTheme="majorHAnsi" w:hAnsiTheme="majorHAnsi" w:cs="Times"/>
          <w:b/>
          <w:sz w:val="22"/>
          <w:szCs w:val="22"/>
          <w:lang w:val="en-US"/>
        </w:rPr>
        <w:t>Does it work?</w:t>
      </w:r>
    </w:p>
    <w:p w14:paraId="6F1F61CA" w14:textId="77777777" w:rsidR="004B0997" w:rsidRPr="005E137D" w:rsidRDefault="004B0997" w:rsidP="005E137D">
      <w:pPr>
        <w:pStyle w:val="NoSpacing"/>
        <w:spacing w:line="276" w:lineRule="auto"/>
        <w:rPr>
          <w:rFonts w:asciiTheme="majorHAnsi" w:hAnsiTheme="majorHAnsi"/>
        </w:rPr>
      </w:pPr>
      <w:r w:rsidRPr="005E137D">
        <w:rPr>
          <w:rFonts w:asciiTheme="majorHAnsi" w:hAnsiTheme="majorHAnsi"/>
        </w:rPr>
        <w:lastRenderedPageBreak/>
        <w:t xml:space="preserve">Online end of unit evaluation of this innovation has been positive. 395 of the 511 respondents (76%) agreed/strongly agreed with the statement ‘The use of </w:t>
      </w:r>
      <w:proofErr w:type="spellStart"/>
      <w:r w:rsidRPr="005E137D">
        <w:rPr>
          <w:rFonts w:asciiTheme="majorHAnsi" w:hAnsiTheme="majorHAnsi"/>
        </w:rPr>
        <w:t>SimMan</w:t>
      </w:r>
      <w:proofErr w:type="spellEnd"/>
      <w:r w:rsidRPr="005E137D">
        <w:rPr>
          <w:rFonts w:asciiTheme="majorHAnsi" w:hAnsiTheme="majorHAnsi"/>
        </w:rPr>
        <w:t xml:space="preserve"> enhanced my learning experience’ measured on a five point </w:t>
      </w:r>
      <w:proofErr w:type="spellStart"/>
      <w:r w:rsidRPr="005E137D">
        <w:rPr>
          <w:rFonts w:asciiTheme="majorHAnsi" w:hAnsiTheme="majorHAnsi"/>
        </w:rPr>
        <w:t>likert</w:t>
      </w:r>
      <w:proofErr w:type="spellEnd"/>
      <w:r w:rsidRPr="005E137D">
        <w:rPr>
          <w:rFonts w:asciiTheme="majorHAnsi" w:hAnsiTheme="majorHAnsi"/>
        </w:rPr>
        <w:t xml:space="preserve"> scale (96% response rate). Thematic analysis of free text qualitative feedback uncovered two main themes:</w:t>
      </w:r>
    </w:p>
    <w:p w14:paraId="21F77613" w14:textId="77777777" w:rsidR="004B0997" w:rsidRPr="005E137D" w:rsidRDefault="004B0997" w:rsidP="005E137D">
      <w:pPr>
        <w:pStyle w:val="NoSpacing"/>
        <w:numPr>
          <w:ilvl w:val="0"/>
          <w:numId w:val="2"/>
        </w:numPr>
        <w:spacing w:line="276" w:lineRule="auto"/>
        <w:ind w:left="567"/>
        <w:rPr>
          <w:rFonts w:asciiTheme="majorHAnsi" w:hAnsiTheme="majorHAnsi"/>
        </w:rPr>
      </w:pPr>
      <w:r w:rsidRPr="005E137D">
        <w:rPr>
          <w:rFonts w:asciiTheme="majorHAnsi" w:hAnsiTheme="majorHAnsi"/>
        </w:rPr>
        <w:t>The simulations demonstrated the effects of drugs in a patient-centred manner.</w:t>
      </w:r>
    </w:p>
    <w:p w14:paraId="2D797BC3" w14:textId="77777777" w:rsidR="004B0997" w:rsidRPr="005E137D" w:rsidRDefault="004B0997" w:rsidP="005E137D">
      <w:pPr>
        <w:pStyle w:val="NoSpacing"/>
        <w:numPr>
          <w:ilvl w:val="0"/>
          <w:numId w:val="2"/>
        </w:numPr>
        <w:spacing w:line="276" w:lineRule="auto"/>
        <w:ind w:left="567"/>
        <w:rPr>
          <w:rFonts w:asciiTheme="majorHAnsi" w:hAnsiTheme="majorHAnsi"/>
        </w:rPr>
      </w:pPr>
      <w:r w:rsidRPr="005E137D">
        <w:rPr>
          <w:rFonts w:asciiTheme="majorHAnsi" w:hAnsiTheme="majorHAnsi"/>
        </w:rPr>
        <w:t xml:space="preserve">The simulations enabled students to see how the content of the course applied to clinical practice. </w:t>
      </w:r>
    </w:p>
    <w:p w14:paraId="288DBEE9" w14:textId="77777777" w:rsidR="004B0997" w:rsidRPr="005E137D" w:rsidRDefault="004B0997" w:rsidP="005E137D">
      <w:pPr>
        <w:spacing w:line="276" w:lineRule="auto"/>
        <w:rPr>
          <w:rFonts w:asciiTheme="majorHAnsi" w:hAnsiTheme="majorHAnsi"/>
          <w:sz w:val="22"/>
          <w:szCs w:val="22"/>
        </w:rPr>
      </w:pPr>
      <w:r w:rsidRPr="005E137D">
        <w:rPr>
          <w:rFonts w:asciiTheme="majorHAnsi" w:hAnsiTheme="majorHAnsi"/>
          <w:sz w:val="22"/>
          <w:szCs w:val="22"/>
        </w:rPr>
        <w:t xml:space="preserve">An example of feedback illustrating this latter point is: ‘The lecture using </w:t>
      </w:r>
      <w:proofErr w:type="spellStart"/>
      <w:r w:rsidRPr="005E137D">
        <w:rPr>
          <w:rFonts w:asciiTheme="majorHAnsi" w:hAnsiTheme="majorHAnsi"/>
          <w:sz w:val="22"/>
          <w:szCs w:val="22"/>
        </w:rPr>
        <w:t>SimMan</w:t>
      </w:r>
      <w:proofErr w:type="spellEnd"/>
      <w:r w:rsidRPr="005E137D">
        <w:rPr>
          <w:rFonts w:asciiTheme="majorHAnsi" w:hAnsiTheme="majorHAnsi"/>
          <w:sz w:val="22"/>
          <w:szCs w:val="22"/>
        </w:rPr>
        <w:t xml:space="preserve"> at the end was really good, especially using </w:t>
      </w:r>
      <w:proofErr w:type="spellStart"/>
      <w:r w:rsidRPr="005E137D">
        <w:rPr>
          <w:rFonts w:asciiTheme="majorHAnsi" w:hAnsiTheme="majorHAnsi"/>
          <w:sz w:val="22"/>
          <w:szCs w:val="22"/>
        </w:rPr>
        <w:t>TurningPoint</w:t>
      </w:r>
      <w:proofErr w:type="spellEnd"/>
      <w:r w:rsidRPr="005E137D">
        <w:rPr>
          <w:rFonts w:asciiTheme="majorHAnsi" w:hAnsiTheme="majorHAnsi"/>
          <w:sz w:val="22"/>
          <w:szCs w:val="22"/>
        </w:rPr>
        <w:t xml:space="preserve"> so that we could try to ‘treat’ </w:t>
      </w:r>
      <w:proofErr w:type="spellStart"/>
      <w:r w:rsidRPr="005E137D">
        <w:rPr>
          <w:rFonts w:asciiTheme="majorHAnsi" w:hAnsiTheme="majorHAnsi"/>
          <w:sz w:val="22"/>
          <w:szCs w:val="22"/>
        </w:rPr>
        <w:t>SimMan</w:t>
      </w:r>
      <w:proofErr w:type="spellEnd"/>
      <w:r w:rsidRPr="005E137D">
        <w:rPr>
          <w:rFonts w:asciiTheme="majorHAnsi" w:hAnsiTheme="majorHAnsi"/>
          <w:sz w:val="22"/>
          <w:szCs w:val="22"/>
        </w:rPr>
        <w:t xml:space="preserve">. It kept the lecture clinically focussed and enabled us to see how the information would come in useful in practice’. Simulations where </w:t>
      </w:r>
      <w:proofErr w:type="spellStart"/>
      <w:r w:rsidRPr="005E137D">
        <w:rPr>
          <w:rFonts w:asciiTheme="majorHAnsi" w:hAnsiTheme="majorHAnsi"/>
          <w:sz w:val="22"/>
          <w:szCs w:val="22"/>
        </w:rPr>
        <w:t>SimMan</w:t>
      </w:r>
      <w:proofErr w:type="spellEnd"/>
      <w:r w:rsidRPr="005E137D">
        <w:rPr>
          <w:rFonts w:asciiTheme="majorHAnsi" w:hAnsiTheme="majorHAnsi"/>
          <w:sz w:val="22"/>
          <w:szCs w:val="22"/>
        </w:rPr>
        <w:t xml:space="preserve"> died, for example after administration of 5ml 1:1000 intravenous adrenaline for anaphylaxis, provided particularly memorable learning experiences. Feedback on this particular encounter included: ‘</w:t>
      </w:r>
      <w:proofErr w:type="spellStart"/>
      <w:r w:rsidRPr="005E137D">
        <w:rPr>
          <w:rFonts w:asciiTheme="majorHAnsi" w:hAnsiTheme="majorHAnsi"/>
          <w:sz w:val="22"/>
          <w:szCs w:val="22"/>
        </w:rPr>
        <w:t>SimMan</w:t>
      </w:r>
      <w:proofErr w:type="spellEnd"/>
      <w:r w:rsidRPr="005E137D">
        <w:rPr>
          <w:rFonts w:asciiTheme="majorHAnsi" w:hAnsiTheme="majorHAnsi"/>
          <w:sz w:val="22"/>
          <w:szCs w:val="22"/>
        </w:rPr>
        <w:t xml:space="preserve">… cemented my learning on this topic and it made the entire lecture very memorable, I can still remember the entire </w:t>
      </w:r>
      <w:proofErr w:type="spellStart"/>
      <w:r w:rsidRPr="005E137D">
        <w:rPr>
          <w:rFonts w:asciiTheme="majorHAnsi" w:hAnsiTheme="majorHAnsi"/>
          <w:sz w:val="22"/>
          <w:szCs w:val="22"/>
        </w:rPr>
        <w:t>SimMan</w:t>
      </w:r>
      <w:proofErr w:type="spellEnd"/>
      <w:r w:rsidRPr="005E137D">
        <w:rPr>
          <w:rFonts w:asciiTheme="majorHAnsi" w:hAnsiTheme="majorHAnsi"/>
          <w:sz w:val="22"/>
          <w:szCs w:val="22"/>
        </w:rPr>
        <w:t xml:space="preserve"> session a year on’.</w:t>
      </w:r>
    </w:p>
    <w:p w14:paraId="60E1A6AB" w14:textId="77777777" w:rsidR="004B0997" w:rsidRPr="005E137D" w:rsidRDefault="004B0997" w:rsidP="005E137D">
      <w:pPr>
        <w:spacing w:line="276" w:lineRule="auto"/>
        <w:rPr>
          <w:rFonts w:asciiTheme="majorHAnsi" w:hAnsiTheme="majorHAnsi" w:cs="Times"/>
          <w:sz w:val="22"/>
          <w:szCs w:val="22"/>
          <w:lang w:val="en-US"/>
        </w:rPr>
      </w:pPr>
    </w:p>
    <w:p w14:paraId="4BC3C689" w14:textId="77777777" w:rsidR="004B0997" w:rsidRPr="005E137D" w:rsidRDefault="004B0997" w:rsidP="005E137D">
      <w:pPr>
        <w:spacing w:line="276" w:lineRule="auto"/>
        <w:rPr>
          <w:rFonts w:asciiTheme="majorHAnsi" w:hAnsiTheme="majorHAnsi" w:cs="Times"/>
          <w:b/>
          <w:sz w:val="22"/>
          <w:szCs w:val="22"/>
          <w:lang w:val="en-US"/>
        </w:rPr>
      </w:pPr>
      <w:r w:rsidRPr="005E137D">
        <w:rPr>
          <w:rFonts w:asciiTheme="majorHAnsi" w:hAnsiTheme="majorHAnsi" w:cs="Times"/>
          <w:b/>
          <w:sz w:val="22"/>
          <w:szCs w:val="22"/>
          <w:lang w:val="en-US"/>
        </w:rPr>
        <w:t>Your title</w:t>
      </w:r>
      <w:r w:rsidR="005E137D">
        <w:rPr>
          <w:rFonts w:asciiTheme="majorHAnsi" w:hAnsiTheme="majorHAnsi" w:cs="Times"/>
          <w:b/>
          <w:sz w:val="22"/>
          <w:szCs w:val="22"/>
          <w:lang w:val="en-US"/>
        </w:rPr>
        <w:tab/>
      </w:r>
      <w:r w:rsidRPr="005E137D">
        <w:rPr>
          <w:rFonts w:asciiTheme="majorHAnsi" w:hAnsiTheme="majorHAnsi"/>
          <w:sz w:val="22"/>
          <w:szCs w:val="22"/>
        </w:rPr>
        <w:t xml:space="preserve">Combining interactive voting technology and high-fidelity patient simulations in the lecture theatre </w:t>
      </w:r>
    </w:p>
    <w:p w14:paraId="30A45C7F" w14:textId="77777777" w:rsidR="004B0997" w:rsidRPr="005E137D" w:rsidRDefault="004B0997" w:rsidP="005E137D">
      <w:pPr>
        <w:spacing w:line="276" w:lineRule="auto"/>
        <w:rPr>
          <w:rFonts w:asciiTheme="majorHAnsi" w:hAnsiTheme="majorHAnsi" w:cs="Times"/>
          <w:sz w:val="22"/>
          <w:szCs w:val="22"/>
          <w:lang w:val="en-US"/>
        </w:rPr>
      </w:pPr>
    </w:p>
    <w:p w14:paraId="2C7D4F1A" w14:textId="77777777" w:rsidR="004B0997" w:rsidRPr="005E137D" w:rsidRDefault="004B0997" w:rsidP="005E137D">
      <w:pPr>
        <w:pStyle w:val="ListParagraph"/>
        <w:numPr>
          <w:ilvl w:val="0"/>
          <w:numId w:val="1"/>
        </w:numPr>
        <w:spacing w:line="276" w:lineRule="auto"/>
        <w:rPr>
          <w:rFonts w:asciiTheme="majorHAnsi" w:hAnsiTheme="majorHAnsi" w:cs="Times"/>
          <w:sz w:val="22"/>
          <w:szCs w:val="22"/>
          <w:lang w:val="en-US"/>
        </w:rPr>
      </w:pPr>
      <w:r w:rsidRPr="005E137D">
        <w:rPr>
          <w:rStyle w:val="Strong"/>
          <w:rFonts w:asciiTheme="majorHAnsi" w:eastAsia="Times New Roman" w:hAnsiTheme="majorHAnsi" w:cs="Tahoma"/>
          <w:sz w:val="22"/>
          <w:szCs w:val="22"/>
        </w:rPr>
        <w:t>Coherent Curriculum themes</w:t>
      </w:r>
      <w:r w:rsidRPr="005E137D">
        <w:rPr>
          <w:rFonts w:asciiTheme="majorHAnsi" w:eastAsia="Times New Roman" w:hAnsiTheme="majorHAnsi" w:cs="Tahoma"/>
          <w:sz w:val="22"/>
          <w:szCs w:val="22"/>
        </w:rPr>
        <w:t xml:space="preserve"> </w:t>
      </w:r>
    </w:p>
    <w:p w14:paraId="5E505F8D" w14:textId="77777777" w:rsidR="004B0997" w:rsidRPr="005E137D" w:rsidRDefault="004B0997" w:rsidP="005E137D">
      <w:pPr>
        <w:pStyle w:val="ListParagraph"/>
        <w:spacing w:line="276" w:lineRule="auto"/>
        <w:rPr>
          <w:rFonts w:asciiTheme="majorHAnsi" w:hAnsiTheme="majorHAnsi" w:cs="Times"/>
          <w:sz w:val="22"/>
          <w:szCs w:val="22"/>
          <w:lang w:val="en-US"/>
        </w:rPr>
      </w:pPr>
      <w:r w:rsidRPr="005E137D">
        <w:rPr>
          <w:rFonts w:asciiTheme="majorHAnsi" w:hAnsiTheme="majorHAnsi" w:cs="Times"/>
          <w:sz w:val="22"/>
          <w:szCs w:val="22"/>
          <w:lang w:val="en-US"/>
        </w:rPr>
        <w:t>Assessment and feedback</w:t>
      </w:r>
    </w:p>
    <w:p w14:paraId="4C6E8C86" w14:textId="77777777" w:rsidR="004B0997" w:rsidRPr="005E137D" w:rsidRDefault="004B0997" w:rsidP="005E137D">
      <w:pPr>
        <w:pStyle w:val="ListParagraph"/>
        <w:spacing w:line="276" w:lineRule="auto"/>
        <w:rPr>
          <w:rFonts w:asciiTheme="majorHAnsi" w:hAnsiTheme="majorHAnsi" w:cs="Times"/>
          <w:sz w:val="22"/>
          <w:szCs w:val="22"/>
          <w:lang w:val="en-US"/>
        </w:rPr>
      </w:pPr>
      <w:r w:rsidRPr="005E137D">
        <w:rPr>
          <w:rFonts w:asciiTheme="majorHAnsi" w:hAnsiTheme="majorHAnsi" w:cs="Times"/>
          <w:sz w:val="22"/>
          <w:szCs w:val="22"/>
          <w:lang w:val="en-US"/>
        </w:rPr>
        <w:t>Research-informed teaching</w:t>
      </w:r>
    </w:p>
    <w:p w14:paraId="4811C486" w14:textId="77777777" w:rsidR="004B0997" w:rsidRPr="005E137D" w:rsidRDefault="004B0997" w:rsidP="005E137D">
      <w:pPr>
        <w:pStyle w:val="ListParagraph"/>
        <w:spacing w:line="276" w:lineRule="auto"/>
        <w:rPr>
          <w:rFonts w:asciiTheme="majorHAnsi" w:hAnsiTheme="majorHAnsi" w:cs="Times"/>
          <w:sz w:val="22"/>
          <w:szCs w:val="22"/>
          <w:lang w:val="en-US"/>
        </w:rPr>
      </w:pPr>
      <w:r w:rsidRPr="005E137D">
        <w:rPr>
          <w:rFonts w:asciiTheme="majorHAnsi" w:hAnsiTheme="majorHAnsi" w:cs="Times"/>
          <w:sz w:val="22"/>
          <w:szCs w:val="22"/>
          <w:lang w:val="en-US"/>
        </w:rPr>
        <w:t>Skills and Employability</w:t>
      </w:r>
    </w:p>
    <w:p w14:paraId="6CAD2C55" w14:textId="77777777" w:rsidR="004B0997" w:rsidRPr="005E137D" w:rsidRDefault="004B0997" w:rsidP="005E137D">
      <w:pPr>
        <w:pStyle w:val="ListParagraph"/>
        <w:spacing w:line="276" w:lineRule="auto"/>
        <w:rPr>
          <w:rFonts w:asciiTheme="majorHAnsi" w:hAnsiTheme="majorHAnsi" w:cs="Times"/>
          <w:sz w:val="22"/>
          <w:szCs w:val="22"/>
          <w:lang w:val="en-US"/>
        </w:rPr>
      </w:pPr>
      <w:r w:rsidRPr="005E137D">
        <w:rPr>
          <w:rFonts w:asciiTheme="majorHAnsi" w:hAnsiTheme="majorHAnsi" w:cs="Times"/>
          <w:sz w:val="22"/>
          <w:szCs w:val="22"/>
          <w:lang w:val="en-US"/>
        </w:rPr>
        <w:t>Student engagement</w:t>
      </w:r>
    </w:p>
    <w:p w14:paraId="4A8AA90C" w14:textId="77777777" w:rsidR="004B0997" w:rsidRPr="005E137D" w:rsidRDefault="004B0997" w:rsidP="005E137D">
      <w:pPr>
        <w:pStyle w:val="ListParagraph"/>
        <w:spacing w:line="276" w:lineRule="auto"/>
        <w:rPr>
          <w:rFonts w:asciiTheme="majorHAnsi" w:hAnsiTheme="majorHAnsi" w:cs="Times"/>
          <w:sz w:val="22"/>
          <w:szCs w:val="22"/>
          <w:lang w:val="en-US"/>
        </w:rPr>
      </w:pPr>
      <w:r w:rsidRPr="005E137D">
        <w:rPr>
          <w:rFonts w:asciiTheme="majorHAnsi" w:hAnsiTheme="majorHAnsi" w:cs="Times"/>
          <w:sz w:val="22"/>
          <w:szCs w:val="22"/>
          <w:lang w:val="en-US"/>
        </w:rPr>
        <w:t>Technology enhanced learning</w:t>
      </w:r>
    </w:p>
    <w:p w14:paraId="4484080D" w14:textId="77777777" w:rsidR="004B0997" w:rsidRPr="005E137D" w:rsidRDefault="004B0997" w:rsidP="005E137D">
      <w:pPr>
        <w:pStyle w:val="ListParagraph"/>
        <w:spacing w:line="276" w:lineRule="auto"/>
        <w:rPr>
          <w:rFonts w:asciiTheme="majorHAnsi" w:hAnsiTheme="majorHAnsi" w:cs="Times"/>
          <w:sz w:val="22"/>
          <w:szCs w:val="22"/>
          <w:lang w:val="en-US"/>
        </w:rPr>
      </w:pPr>
    </w:p>
    <w:p w14:paraId="1835BAA2" w14:textId="77777777" w:rsidR="004B0997" w:rsidRPr="005E137D" w:rsidRDefault="004B0997" w:rsidP="005E137D">
      <w:pPr>
        <w:pStyle w:val="ListParagraph"/>
        <w:spacing w:line="276" w:lineRule="auto"/>
        <w:rPr>
          <w:rFonts w:asciiTheme="majorHAnsi" w:hAnsiTheme="majorHAnsi" w:cs="Times"/>
          <w:sz w:val="22"/>
          <w:szCs w:val="22"/>
          <w:lang w:val="en-US"/>
        </w:rPr>
      </w:pPr>
      <w:r w:rsidRPr="005E137D">
        <w:rPr>
          <w:rStyle w:val="Strong"/>
          <w:rFonts w:asciiTheme="majorHAnsi" w:eastAsia="Times New Roman" w:hAnsiTheme="majorHAnsi" w:cs="Tahoma"/>
          <w:sz w:val="22"/>
          <w:szCs w:val="22"/>
        </w:rPr>
        <w:t>Students' Stage</w:t>
      </w:r>
    </w:p>
    <w:p w14:paraId="60459F82" w14:textId="77777777" w:rsidR="004B0997" w:rsidRPr="005E137D" w:rsidRDefault="004B0997" w:rsidP="005E137D">
      <w:pPr>
        <w:pStyle w:val="ListParagraph"/>
        <w:numPr>
          <w:ilvl w:val="0"/>
          <w:numId w:val="1"/>
        </w:numPr>
        <w:spacing w:line="276" w:lineRule="auto"/>
        <w:rPr>
          <w:rFonts w:asciiTheme="majorHAnsi" w:hAnsiTheme="majorHAnsi" w:cs="Times"/>
          <w:sz w:val="22"/>
          <w:szCs w:val="22"/>
          <w:lang w:val="en-US"/>
        </w:rPr>
      </w:pPr>
      <w:r w:rsidRPr="005E137D">
        <w:rPr>
          <w:rFonts w:asciiTheme="majorHAnsi" w:hAnsiTheme="majorHAnsi" w:cs="Times"/>
          <w:sz w:val="22"/>
          <w:szCs w:val="22"/>
          <w:lang w:val="en-US"/>
        </w:rPr>
        <w:t>Undergraduate (stage 1 and 2)</w:t>
      </w:r>
    </w:p>
    <w:p w14:paraId="6A052314" w14:textId="77777777" w:rsidR="004B0997" w:rsidRPr="005E137D" w:rsidRDefault="004B0997" w:rsidP="005E137D">
      <w:pPr>
        <w:pStyle w:val="ListParagraph"/>
        <w:spacing w:line="276" w:lineRule="auto"/>
        <w:rPr>
          <w:rFonts w:asciiTheme="majorHAnsi" w:hAnsiTheme="majorHAnsi" w:cs="Times"/>
          <w:sz w:val="22"/>
          <w:szCs w:val="22"/>
          <w:lang w:val="en-US"/>
        </w:rPr>
      </w:pPr>
    </w:p>
    <w:p w14:paraId="621FA2D6" w14:textId="77777777" w:rsidR="004B0997" w:rsidRPr="005E137D" w:rsidRDefault="004B0997" w:rsidP="005E137D">
      <w:pPr>
        <w:pStyle w:val="ListParagraph"/>
        <w:spacing w:line="276" w:lineRule="auto"/>
        <w:rPr>
          <w:rFonts w:asciiTheme="majorHAnsi" w:hAnsiTheme="majorHAnsi" w:cs="Times"/>
          <w:sz w:val="22"/>
          <w:szCs w:val="22"/>
          <w:lang w:val="en-US"/>
        </w:rPr>
      </w:pPr>
      <w:r w:rsidRPr="005E137D">
        <w:rPr>
          <w:rStyle w:val="Strong"/>
          <w:rFonts w:asciiTheme="majorHAnsi" w:eastAsia="Times New Roman" w:hAnsiTheme="majorHAnsi" w:cs="Tahoma"/>
          <w:sz w:val="22"/>
          <w:szCs w:val="22"/>
        </w:rPr>
        <w:t>Students' academic unit</w:t>
      </w:r>
    </w:p>
    <w:p w14:paraId="72B6CD25" w14:textId="77777777" w:rsidR="004B0997" w:rsidRPr="005E137D" w:rsidRDefault="004B0997" w:rsidP="005E137D">
      <w:pPr>
        <w:pStyle w:val="ListParagraph"/>
        <w:numPr>
          <w:ilvl w:val="0"/>
          <w:numId w:val="1"/>
        </w:numPr>
        <w:spacing w:line="276" w:lineRule="auto"/>
        <w:rPr>
          <w:rFonts w:asciiTheme="majorHAnsi" w:hAnsiTheme="majorHAnsi" w:cs="Times"/>
          <w:sz w:val="22"/>
          <w:szCs w:val="22"/>
          <w:lang w:val="en-US"/>
        </w:rPr>
      </w:pPr>
      <w:r w:rsidRPr="005E137D">
        <w:rPr>
          <w:rFonts w:asciiTheme="majorHAnsi" w:hAnsiTheme="majorHAnsi" w:cs="Times"/>
          <w:sz w:val="22"/>
          <w:szCs w:val="22"/>
          <w:lang w:val="en-US"/>
        </w:rPr>
        <w:t>MBBS (Medicine)</w:t>
      </w:r>
    </w:p>
    <w:p w14:paraId="69E909BD" w14:textId="77777777" w:rsidR="004B0997" w:rsidRPr="005E137D" w:rsidRDefault="004B0997" w:rsidP="005E137D">
      <w:pPr>
        <w:pStyle w:val="ListParagraph"/>
        <w:spacing w:line="276" w:lineRule="auto"/>
        <w:rPr>
          <w:rFonts w:asciiTheme="majorHAnsi" w:hAnsiTheme="majorHAnsi" w:cs="Times"/>
          <w:sz w:val="22"/>
          <w:szCs w:val="22"/>
          <w:lang w:val="en-US"/>
        </w:rPr>
      </w:pPr>
    </w:p>
    <w:p w14:paraId="2C2776E5" w14:textId="77777777" w:rsidR="004B0997" w:rsidRPr="005E137D" w:rsidRDefault="004B0997" w:rsidP="005E137D">
      <w:pPr>
        <w:pStyle w:val="ListParagraph"/>
        <w:spacing w:line="276" w:lineRule="auto"/>
        <w:rPr>
          <w:rFonts w:asciiTheme="majorHAnsi" w:hAnsiTheme="majorHAnsi" w:cs="Times"/>
          <w:sz w:val="22"/>
          <w:szCs w:val="22"/>
          <w:lang w:val="en-US"/>
        </w:rPr>
      </w:pPr>
      <w:r w:rsidRPr="005E137D">
        <w:rPr>
          <w:rStyle w:val="Strong"/>
          <w:rFonts w:asciiTheme="majorHAnsi" w:eastAsia="Times New Roman" w:hAnsiTheme="majorHAnsi" w:cs="Tahoma"/>
          <w:sz w:val="22"/>
          <w:szCs w:val="22"/>
        </w:rPr>
        <w:t>Learning technologies</w:t>
      </w:r>
    </w:p>
    <w:p w14:paraId="010903DD" w14:textId="77777777" w:rsidR="004B0997" w:rsidRPr="005E137D" w:rsidRDefault="004B0997" w:rsidP="005E137D">
      <w:pPr>
        <w:pStyle w:val="ListParagraph"/>
        <w:numPr>
          <w:ilvl w:val="0"/>
          <w:numId w:val="1"/>
        </w:numPr>
        <w:spacing w:line="276" w:lineRule="auto"/>
        <w:rPr>
          <w:rFonts w:asciiTheme="majorHAnsi" w:hAnsiTheme="majorHAnsi" w:cs="Times"/>
          <w:sz w:val="22"/>
          <w:szCs w:val="22"/>
          <w:lang w:val="en-US"/>
        </w:rPr>
      </w:pPr>
      <w:proofErr w:type="spellStart"/>
      <w:r w:rsidRPr="005E137D">
        <w:rPr>
          <w:rFonts w:asciiTheme="majorHAnsi" w:hAnsiTheme="majorHAnsi" w:cs="Times"/>
          <w:sz w:val="22"/>
          <w:szCs w:val="22"/>
          <w:lang w:val="en-US"/>
        </w:rPr>
        <w:t>SimMan</w:t>
      </w:r>
      <w:proofErr w:type="spellEnd"/>
      <w:r w:rsidRPr="005E137D">
        <w:rPr>
          <w:rFonts w:asciiTheme="majorHAnsi" w:hAnsiTheme="majorHAnsi" w:cs="Times"/>
          <w:sz w:val="22"/>
          <w:szCs w:val="22"/>
          <w:lang w:val="en-US"/>
        </w:rPr>
        <w:t xml:space="preserve"> </w:t>
      </w:r>
    </w:p>
    <w:p w14:paraId="51E5F280" w14:textId="77777777" w:rsidR="004B0997" w:rsidRPr="005E137D" w:rsidRDefault="004B0997" w:rsidP="005E137D">
      <w:pPr>
        <w:pStyle w:val="ListParagraph"/>
        <w:spacing w:line="276" w:lineRule="auto"/>
        <w:rPr>
          <w:rFonts w:asciiTheme="majorHAnsi" w:hAnsiTheme="majorHAnsi" w:cs="Times"/>
          <w:sz w:val="22"/>
          <w:szCs w:val="22"/>
          <w:lang w:val="en-US"/>
        </w:rPr>
      </w:pPr>
      <w:proofErr w:type="spellStart"/>
      <w:r w:rsidRPr="005E137D">
        <w:rPr>
          <w:rFonts w:asciiTheme="majorHAnsi" w:hAnsiTheme="majorHAnsi" w:cs="Times"/>
          <w:sz w:val="22"/>
          <w:szCs w:val="22"/>
          <w:lang w:val="en-US"/>
        </w:rPr>
        <w:t>TurningPoint</w:t>
      </w:r>
      <w:proofErr w:type="spellEnd"/>
    </w:p>
    <w:p w14:paraId="7D9501B2" w14:textId="77777777" w:rsidR="004B0997" w:rsidRPr="005E137D" w:rsidRDefault="004B0997" w:rsidP="005E137D">
      <w:pPr>
        <w:spacing w:line="276" w:lineRule="auto"/>
        <w:rPr>
          <w:rFonts w:asciiTheme="majorHAnsi" w:hAnsiTheme="majorHAnsi" w:cs="Times"/>
          <w:sz w:val="22"/>
          <w:szCs w:val="22"/>
          <w:lang w:val="en-US"/>
        </w:rPr>
      </w:pPr>
    </w:p>
    <w:p w14:paraId="586F163A" w14:textId="77777777" w:rsidR="004B0997" w:rsidRPr="005E137D" w:rsidRDefault="004B0997" w:rsidP="005E137D">
      <w:pPr>
        <w:spacing w:line="276" w:lineRule="auto"/>
        <w:ind w:firstLine="720"/>
        <w:rPr>
          <w:rFonts w:asciiTheme="majorHAnsi" w:hAnsiTheme="majorHAnsi" w:cs="Times"/>
          <w:sz w:val="22"/>
          <w:szCs w:val="22"/>
          <w:lang w:val="en-US"/>
        </w:rPr>
      </w:pPr>
      <w:r w:rsidRPr="005E137D">
        <w:rPr>
          <w:rStyle w:val="Strong"/>
          <w:rFonts w:asciiTheme="majorHAnsi" w:eastAsia="Times New Roman" w:hAnsiTheme="majorHAnsi" w:cs="Tahoma"/>
          <w:sz w:val="22"/>
          <w:szCs w:val="22"/>
        </w:rPr>
        <w:t>Type of interaction</w:t>
      </w:r>
    </w:p>
    <w:p w14:paraId="38B4A5FB" w14:textId="77777777" w:rsidR="004B0997" w:rsidRPr="005E137D" w:rsidRDefault="004B0997" w:rsidP="005E137D">
      <w:pPr>
        <w:pStyle w:val="ListParagraph"/>
        <w:numPr>
          <w:ilvl w:val="0"/>
          <w:numId w:val="1"/>
        </w:numPr>
        <w:spacing w:line="276" w:lineRule="auto"/>
        <w:rPr>
          <w:rFonts w:asciiTheme="majorHAnsi" w:hAnsiTheme="majorHAnsi" w:cs="Times"/>
          <w:sz w:val="22"/>
          <w:szCs w:val="22"/>
          <w:lang w:val="en-US"/>
        </w:rPr>
      </w:pPr>
      <w:r w:rsidRPr="005E137D">
        <w:rPr>
          <w:rFonts w:asciiTheme="majorHAnsi" w:hAnsiTheme="majorHAnsi" w:cs="Times"/>
          <w:sz w:val="22"/>
          <w:szCs w:val="22"/>
          <w:lang w:val="en-US"/>
        </w:rPr>
        <w:t>Over 200 students per group</w:t>
      </w:r>
    </w:p>
    <w:p w14:paraId="05507224" w14:textId="77777777" w:rsidR="004B0997" w:rsidRPr="005E137D" w:rsidRDefault="004B0997" w:rsidP="005E137D">
      <w:pPr>
        <w:spacing w:line="276" w:lineRule="auto"/>
        <w:rPr>
          <w:rFonts w:asciiTheme="majorHAnsi" w:hAnsiTheme="majorHAnsi" w:cs="Times"/>
          <w:sz w:val="22"/>
          <w:szCs w:val="22"/>
          <w:lang w:val="en-US"/>
        </w:rPr>
      </w:pPr>
    </w:p>
    <w:p w14:paraId="7A378E64" w14:textId="77777777" w:rsidR="004B0997" w:rsidRPr="005E137D" w:rsidRDefault="004B0997" w:rsidP="005E137D">
      <w:pPr>
        <w:spacing w:line="276" w:lineRule="auto"/>
        <w:ind w:left="720"/>
        <w:rPr>
          <w:rFonts w:asciiTheme="majorHAnsi" w:hAnsiTheme="majorHAnsi" w:cs="Times"/>
          <w:sz w:val="22"/>
          <w:szCs w:val="22"/>
          <w:lang w:val="en-US"/>
        </w:rPr>
      </w:pPr>
      <w:r w:rsidRPr="005E137D">
        <w:rPr>
          <w:rStyle w:val="Strong"/>
          <w:rFonts w:asciiTheme="majorHAnsi" w:eastAsia="Times New Roman" w:hAnsiTheme="majorHAnsi" w:cs="Tahoma"/>
          <w:sz w:val="22"/>
          <w:szCs w:val="22"/>
        </w:rPr>
        <w:t>Main trigger for your practice</w:t>
      </w:r>
    </w:p>
    <w:p w14:paraId="405E7ED3" w14:textId="77777777" w:rsidR="004B0997" w:rsidRPr="005E137D" w:rsidRDefault="004B0997" w:rsidP="005E137D">
      <w:pPr>
        <w:pStyle w:val="ListParagraph"/>
        <w:numPr>
          <w:ilvl w:val="0"/>
          <w:numId w:val="1"/>
        </w:numPr>
        <w:spacing w:line="276" w:lineRule="auto"/>
        <w:rPr>
          <w:rFonts w:asciiTheme="majorHAnsi" w:hAnsiTheme="majorHAnsi" w:cs="Times"/>
          <w:sz w:val="22"/>
          <w:szCs w:val="22"/>
          <w:lang w:val="en-US"/>
        </w:rPr>
      </w:pPr>
      <w:r w:rsidRPr="005E137D">
        <w:rPr>
          <w:rFonts w:asciiTheme="majorHAnsi" w:hAnsiTheme="majorHAnsi" w:cs="Times"/>
          <w:sz w:val="22"/>
          <w:szCs w:val="22"/>
          <w:lang w:val="en-US"/>
        </w:rPr>
        <w:t>In response to issues</w:t>
      </w:r>
    </w:p>
    <w:p w14:paraId="04343F18" w14:textId="77777777" w:rsidR="004B0997" w:rsidRPr="005E137D" w:rsidRDefault="004B0997" w:rsidP="005E137D">
      <w:pPr>
        <w:spacing w:line="276" w:lineRule="auto"/>
        <w:rPr>
          <w:rFonts w:asciiTheme="majorHAnsi" w:hAnsiTheme="majorHAnsi" w:cs="Times"/>
          <w:sz w:val="22"/>
          <w:szCs w:val="22"/>
          <w:lang w:val="en-US"/>
        </w:rPr>
      </w:pPr>
    </w:p>
    <w:p w14:paraId="63653869" w14:textId="77777777" w:rsidR="004B0997" w:rsidRPr="005E137D" w:rsidRDefault="004B0997" w:rsidP="005E137D">
      <w:pPr>
        <w:spacing w:line="276" w:lineRule="auto"/>
        <w:ind w:firstLine="720"/>
        <w:rPr>
          <w:rFonts w:asciiTheme="majorHAnsi" w:hAnsiTheme="majorHAnsi" w:cs="Times"/>
          <w:sz w:val="22"/>
          <w:szCs w:val="22"/>
          <w:lang w:val="en-US"/>
        </w:rPr>
      </w:pPr>
      <w:r w:rsidRPr="005E137D">
        <w:rPr>
          <w:rStyle w:val="Strong"/>
          <w:rFonts w:asciiTheme="majorHAnsi" w:eastAsia="Times New Roman" w:hAnsiTheme="majorHAnsi" w:cs="Tahoma"/>
          <w:sz w:val="22"/>
          <w:szCs w:val="22"/>
        </w:rPr>
        <w:t>Tags</w:t>
      </w:r>
    </w:p>
    <w:p w14:paraId="3D31F2EE" w14:textId="77777777" w:rsidR="004B0997" w:rsidRPr="005E137D" w:rsidRDefault="004B0997" w:rsidP="005E137D">
      <w:pPr>
        <w:pStyle w:val="ListParagraph"/>
        <w:numPr>
          <w:ilvl w:val="0"/>
          <w:numId w:val="1"/>
        </w:numPr>
        <w:spacing w:line="276" w:lineRule="auto"/>
        <w:rPr>
          <w:rFonts w:asciiTheme="majorHAnsi" w:hAnsiTheme="majorHAnsi" w:cs="Times"/>
          <w:sz w:val="22"/>
          <w:szCs w:val="22"/>
          <w:lang w:val="en-US"/>
        </w:rPr>
      </w:pPr>
      <w:proofErr w:type="spellStart"/>
      <w:r w:rsidRPr="005E137D">
        <w:rPr>
          <w:rFonts w:asciiTheme="majorHAnsi" w:hAnsiTheme="majorHAnsi" w:cs="Times"/>
          <w:sz w:val="22"/>
          <w:szCs w:val="22"/>
          <w:lang w:val="en-US"/>
        </w:rPr>
        <w:t>SimMan</w:t>
      </w:r>
      <w:proofErr w:type="spellEnd"/>
      <w:r w:rsidRPr="005E137D">
        <w:rPr>
          <w:rFonts w:asciiTheme="majorHAnsi" w:hAnsiTheme="majorHAnsi" w:cs="Times"/>
          <w:sz w:val="22"/>
          <w:szCs w:val="22"/>
          <w:lang w:val="en-US"/>
        </w:rPr>
        <w:t xml:space="preserve"> / </w:t>
      </w:r>
      <w:proofErr w:type="spellStart"/>
      <w:r w:rsidRPr="005E137D">
        <w:rPr>
          <w:rFonts w:asciiTheme="majorHAnsi" w:hAnsiTheme="majorHAnsi" w:cs="Times"/>
          <w:sz w:val="22"/>
          <w:szCs w:val="22"/>
          <w:lang w:val="en-US"/>
        </w:rPr>
        <w:t>TurningPoint</w:t>
      </w:r>
      <w:proofErr w:type="spellEnd"/>
      <w:r w:rsidRPr="005E137D">
        <w:rPr>
          <w:rFonts w:asciiTheme="majorHAnsi" w:hAnsiTheme="majorHAnsi" w:cs="Times"/>
          <w:sz w:val="22"/>
          <w:szCs w:val="22"/>
          <w:lang w:val="en-US"/>
        </w:rPr>
        <w:t xml:space="preserve"> / simulation / scenarios / voting technologies / split-screen / </w:t>
      </w:r>
    </w:p>
    <w:tbl>
      <w:tblPr>
        <w:tblW w:w="5000" w:type="pct"/>
        <w:tblCellSpacing w:w="0" w:type="dxa"/>
        <w:tblCellMar>
          <w:left w:w="0" w:type="dxa"/>
          <w:right w:w="0" w:type="dxa"/>
        </w:tblCellMar>
        <w:tblLook w:val="04A0" w:firstRow="1" w:lastRow="0" w:firstColumn="1" w:lastColumn="0" w:noHBand="0" w:noVBand="1"/>
      </w:tblPr>
      <w:tblGrid>
        <w:gridCol w:w="8300"/>
      </w:tblGrid>
      <w:tr w:rsidR="004B0997" w:rsidRPr="005E137D" w14:paraId="27E6C085" w14:textId="77777777" w:rsidTr="004B0997">
        <w:trPr>
          <w:tblCellSpacing w:w="0" w:type="dxa"/>
        </w:trPr>
        <w:tc>
          <w:tcPr>
            <w:tcW w:w="2000" w:type="pct"/>
            <w:tcBorders>
              <w:bottom w:val="single" w:sz="6" w:space="0" w:color="DEDEDE"/>
            </w:tcBorders>
            <w:tcMar>
              <w:top w:w="75" w:type="dxa"/>
              <w:left w:w="150" w:type="dxa"/>
              <w:bottom w:w="75" w:type="dxa"/>
              <w:right w:w="150" w:type="dxa"/>
            </w:tcMar>
            <w:vAlign w:val="center"/>
            <w:hideMark/>
          </w:tcPr>
          <w:p w14:paraId="404165AF" w14:textId="77777777" w:rsidR="004B0997" w:rsidRPr="005E137D" w:rsidRDefault="004B0997" w:rsidP="005E137D">
            <w:pPr>
              <w:spacing w:line="276" w:lineRule="auto"/>
              <w:rPr>
                <w:rFonts w:asciiTheme="majorHAnsi" w:eastAsia="Times New Roman" w:hAnsiTheme="majorHAnsi" w:cs="Tahoma"/>
                <w:sz w:val="22"/>
                <w:szCs w:val="22"/>
              </w:rPr>
            </w:pPr>
            <w:r w:rsidRPr="005E137D">
              <w:rPr>
                <w:rStyle w:val="Strong"/>
                <w:rFonts w:asciiTheme="majorHAnsi" w:eastAsia="Times New Roman" w:hAnsiTheme="majorHAnsi" w:cs="Tahoma"/>
                <w:sz w:val="22"/>
                <w:szCs w:val="22"/>
              </w:rPr>
              <w:lastRenderedPageBreak/>
              <w:t>Your name</w:t>
            </w:r>
            <w:r w:rsidRPr="005E137D">
              <w:rPr>
                <w:rFonts w:asciiTheme="majorHAnsi" w:eastAsia="Times New Roman" w:hAnsiTheme="majorHAnsi" w:cs="Tahoma"/>
                <w:sz w:val="22"/>
                <w:szCs w:val="22"/>
              </w:rPr>
              <w:t xml:space="preserve"> Clare </w:t>
            </w:r>
            <w:proofErr w:type="spellStart"/>
            <w:r w:rsidRPr="005E137D">
              <w:rPr>
                <w:rFonts w:asciiTheme="majorHAnsi" w:eastAsia="Times New Roman" w:hAnsiTheme="majorHAnsi" w:cs="Tahoma"/>
                <w:sz w:val="22"/>
                <w:szCs w:val="22"/>
              </w:rPr>
              <w:t>Guilding</w:t>
            </w:r>
            <w:proofErr w:type="spellEnd"/>
          </w:p>
        </w:tc>
      </w:tr>
      <w:tr w:rsidR="004B0997" w:rsidRPr="005E137D" w14:paraId="3FCF83C9" w14:textId="77777777" w:rsidTr="004B0997">
        <w:trPr>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14:paraId="5A746EE7" w14:textId="77777777" w:rsidR="004B0997" w:rsidRPr="005E137D" w:rsidRDefault="004B0997" w:rsidP="005E137D">
            <w:pPr>
              <w:spacing w:line="276" w:lineRule="auto"/>
              <w:rPr>
                <w:rFonts w:asciiTheme="majorHAnsi" w:eastAsia="Times New Roman" w:hAnsiTheme="majorHAnsi" w:cs="Tahoma"/>
                <w:sz w:val="22"/>
                <w:szCs w:val="22"/>
              </w:rPr>
            </w:pPr>
            <w:r w:rsidRPr="005E137D">
              <w:rPr>
                <w:rStyle w:val="Strong"/>
                <w:rFonts w:asciiTheme="majorHAnsi" w:eastAsia="Times New Roman" w:hAnsiTheme="majorHAnsi" w:cs="Tahoma"/>
                <w:sz w:val="22"/>
                <w:szCs w:val="22"/>
              </w:rPr>
              <w:t>Your email address</w:t>
            </w:r>
            <w:r w:rsidRPr="005E137D">
              <w:rPr>
                <w:rFonts w:asciiTheme="majorHAnsi" w:eastAsia="Times New Roman" w:hAnsiTheme="majorHAnsi" w:cs="Tahoma"/>
                <w:sz w:val="22"/>
                <w:szCs w:val="22"/>
              </w:rPr>
              <w:t xml:space="preserve"> </w:t>
            </w:r>
            <w:bookmarkStart w:id="0" w:name="_GoBack"/>
            <w:r w:rsidRPr="005E137D">
              <w:rPr>
                <w:rFonts w:asciiTheme="majorHAnsi" w:eastAsia="Times New Roman" w:hAnsiTheme="majorHAnsi" w:cs="Tahoma"/>
                <w:sz w:val="22"/>
                <w:szCs w:val="22"/>
              </w:rPr>
              <w:t>clare.guilding@newcastle.ac.uk</w:t>
            </w:r>
            <w:bookmarkEnd w:id="0"/>
          </w:p>
        </w:tc>
      </w:tr>
      <w:tr w:rsidR="004B0997" w:rsidRPr="005E137D" w14:paraId="6655900C" w14:textId="77777777" w:rsidTr="004B0997">
        <w:trPr>
          <w:tblCellSpacing w:w="0" w:type="dxa"/>
        </w:trPr>
        <w:tc>
          <w:tcPr>
            <w:tcW w:w="2000" w:type="pct"/>
            <w:tcBorders>
              <w:bottom w:val="single" w:sz="6" w:space="0" w:color="DEDEDE"/>
            </w:tcBorders>
            <w:tcMar>
              <w:top w:w="75" w:type="dxa"/>
              <w:left w:w="150" w:type="dxa"/>
              <w:bottom w:w="75" w:type="dxa"/>
              <w:right w:w="150" w:type="dxa"/>
            </w:tcMar>
            <w:vAlign w:val="center"/>
            <w:hideMark/>
          </w:tcPr>
          <w:p w14:paraId="16FF9721" w14:textId="77777777" w:rsidR="004B0997" w:rsidRPr="005E137D" w:rsidRDefault="004B0997" w:rsidP="005E137D">
            <w:pPr>
              <w:spacing w:line="276" w:lineRule="auto"/>
              <w:rPr>
                <w:rFonts w:asciiTheme="majorHAnsi" w:eastAsia="Times New Roman" w:hAnsiTheme="majorHAnsi" w:cs="Tahoma"/>
                <w:sz w:val="22"/>
                <w:szCs w:val="22"/>
              </w:rPr>
            </w:pPr>
            <w:r w:rsidRPr="005E137D">
              <w:rPr>
                <w:rStyle w:val="Strong"/>
                <w:rFonts w:asciiTheme="majorHAnsi" w:eastAsia="Times New Roman" w:hAnsiTheme="majorHAnsi" w:cs="Tahoma"/>
                <w:sz w:val="22"/>
                <w:szCs w:val="22"/>
              </w:rPr>
              <w:t>Your Academic Unit</w:t>
            </w:r>
            <w:r w:rsidRPr="005E137D">
              <w:rPr>
                <w:rFonts w:asciiTheme="majorHAnsi" w:eastAsia="Times New Roman" w:hAnsiTheme="majorHAnsi" w:cs="Tahoma"/>
                <w:sz w:val="22"/>
                <w:szCs w:val="22"/>
              </w:rPr>
              <w:t xml:space="preserve"> </w:t>
            </w:r>
            <w:r w:rsidR="00856A30" w:rsidRPr="005E137D">
              <w:rPr>
                <w:rFonts w:asciiTheme="majorHAnsi" w:eastAsia="Times New Roman" w:hAnsiTheme="majorHAnsi" w:cs="Tahoma"/>
                <w:sz w:val="22"/>
                <w:szCs w:val="22"/>
              </w:rPr>
              <w:t>School of Medical Education</w:t>
            </w:r>
          </w:p>
        </w:tc>
      </w:tr>
      <w:tr w:rsidR="004B0997" w:rsidRPr="005E137D" w14:paraId="13CD4E92" w14:textId="77777777" w:rsidTr="004B0997">
        <w:trPr>
          <w:tblCellSpacing w:w="0" w:type="dxa"/>
        </w:trPr>
        <w:tc>
          <w:tcPr>
            <w:tcW w:w="2000" w:type="pct"/>
            <w:shd w:val="clear" w:color="auto" w:fill="F3F7FB"/>
            <w:tcMar>
              <w:top w:w="75" w:type="dxa"/>
              <w:left w:w="150" w:type="dxa"/>
              <w:bottom w:w="75" w:type="dxa"/>
              <w:right w:w="150" w:type="dxa"/>
            </w:tcMar>
            <w:vAlign w:val="center"/>
            <w:hideMark/>
          </w:tcPr>
          <w:p w14:paraId="7B840C00" w14:textId="77777777" w:rsidR="004B0997" w:rsidRPr="005E137D" w:rsidRDefault="004B0997" w:rsidP="005E137D">
            <w:pPr>
              <w:spacing w:line="276" w:lineRule="auto"/>
              <w:rPr>
                <w:rFonts w:asciiTheme="majorHAnsi" w:eastAsia="Times New Roman" w:hAnsiTheme="majorHAnsi" w:cs="Tahoma"/>
                <w:sz w:val="22"/>
                <w:szCs w:val="22"/>
              </w:rPr>
            </w:pPr>
            <w:r w:rsidRPr="005E137D">
              <w:rPr>
                <w:rStyle w:val="Strong"/>
                <w:rFonts w:asciiTheme="majorHAnsi" w:eastAsia="Times New Roman" w:hAnsiTheme="majorHAnsi" w:cs="Tahoma"/>
                <w:sz w:val="22"/>
                <w:szCs w:val="22"/>
              </w:rPr>
              <w:t>Your subject area</w:t>
            </w:r>
            <w:r w:rsidRPr="005E137D">
              <w:rPr>
                <w:rFonts w:asciiTheme="majorHAnsi" w:eastAsia="Times New Roman" w:hAnsiTheme="majorHAnsi" w:cs="Tahoma"/>
                <w:sz w:val="22"/>
                <w:szCs w:val="22"/>
              </w:rPr>
              <w:t xml:space="preserve"> </w:t>
            </w:r>
            <w:r w:rsidR="00856A30" w:rsidRPr="005E137D">
              <w:rPr>
                <w:rFonts w:asciiTheme="majorHAnsi" w:eastAsia="Times New Roman" w:hAnsiTheme="majorHAnsi" w:cs="Tahoma"/>
                <w:sz w:val="22"/>
                <w:szCs w:val="22"/>
              </w:rPr>
              <w:t>Medical Education</w:t>
            </w:r>
          </w:p>
        </w:tc>
      </w:tr>
    </w:tbl>
    <w:p w14:paraId="464BE02D" w14:textId="77777777" w:rsidR="000A2833" w:rsidRPr="005E137D" w:rsidRDefault="000A2833" w:rsidP="005E137D">
      <w:pPr>
        <w:spacing w:line="276" w:lineRule="auto"/>
        <w:rPr>
          <w:rFonts w:asciiTheme="majorHAnsi" w:hAnsiTheme="majorHAnsi"/>
          <w:sz w:val="22"/>
          <w:szCs w:val="22"/>
        </w:rPr>
      </w:pPr>
    </w:p>
    <w:sectPr w:rsidR="000A2833" w:rsidRPr="005E137D" w:rsidSect="00E777E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21870"/>
    <w:multiLevelType w:val="hybridMultilevel"/>
    <w:tmpl w:val="03263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E52755"/>
    <w:multiLevelType w:val="hybridMultilevel"/>
    <w:tmpl w:val="235C0242"/>
    <w:lvl w:ilvl="0" w:tplc="0809001B">
      <w:start w:val="1"/>
      <w:numFmt w:val="lowerRoman"/>
      <w:lvlText w:val="%1."/>
      <w:lvlJc w:val="right"/>
      <w:pPr>
        <w:ind w:left="1492" w:hanging="360"/>
      </w:pPr>
    </w:lvl>
    <w:lvl w:ilvl="1" w:tplc="08090019" w:tentative="1">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97"/>
    <w:rsid w:val="000A2833"/>
    <w:rsid w:val="004B0997"/>
    <w:rsid w:val="005E137D"/>
    <w:rsid w:val="006078CC"/>
    <w:rsid w:val="006C5D54"/>
    <w:rsid w:val="00856A30"/>
    <w:rsid w:val="00E777EA"/>
    <w:rsid w:val="00E84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1A0D9B"/>
  <w14:defaultImageDpi w14:val="300"/>
  <w15:docId w15:val="{0294B1B3-2B10-4F19-AC91-6CCDFE0A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997"/>
    <w:rPr>
      <w:lang w:val="en-GB"/>
    </w:rPr>
  </w:style>
  <w:style w:type="paragraph" w:styleId="Heading1">
    <w:name w:val="heading 1"/>
    <w:basedOn w:val="Normal"/>
    <w:next w:val="Normal"/>
    <w:link w:val="Heading1Char"/>
    <w:uiPriority w:val="9"/>
    <w:qFormat/>
    <w:rsid w:val="004B0997"/>
    <w:pPr>
      <w:keepNext/>
      <w:keepLines/>
      <w:spacing w:before="240"/>
      <w:outlineLvl w:val="0"/>
    </w:pPr>
    <w:rPr>
      <w:rFonts w:asciiTheme="majorHAnsi" w:eastAsiaTheme="majorEastAsia" w:hAnsiTheme="majorHAnsi" w:cstheme="majorBidi"/>
      <w:color w:val="365F91"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997"/>
    <w:pPr>
      <w:ind w:left="720"/>
      <w:contextualSpacing/>
    </w:pPr>
  </w:style>
  <w:style w:type="character" w:styleId="Strong">
    <w:name w:val="Strong"/>
    <w:basedOn w:val="DefaultParagraphFont"/>
    <w:uiPriority w:val="22"/>
    <w:qFormat/>
    <w:rsid w:val="004B0997"/>
    <w:rPr>
      <w:b/>
      <w:bCs/>
    </w:rPr>
  </w:style>
  <w:style w:type="paragraph" w:styleId="NormalWeb">
    <w:name w:val="Normal (Web)"/>
    <w:basedOn w:val="Normal"/>
    <w:uiPriority w:val="99"/>
    <w:semiHidden/>
    <w:unhideWhenUsed/>
    <w:rsid w:val="004B0997"/>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4B0997"/>
    <w:rPr>
      <w:rFonts w:eastAsiaTheme="minorHAnsi"/>
      <w:sz w:val="22"/>
      <w:szCs w:val="22"/>
      <w:lang w:val="en-GB"/>
    </w:rPr>
  </w:style>
  <w:style w:type="character" w:customStyle="1" w:styleId="Heading1Char">
    <w:name w:val="Heading 1 Char"/>
    <w:basedOn w:val="DefaultParagraphFont"/>
    <w:link w:val="Heading1"/>
    <w:uiPriority w:val="9"/>
    <w:rsid w:val="004B0997"/>
    <w:rPr>
      <w:rFonts w:asciiTheme="majorHAnsi" w:eastAsiaTheme="majorEastAsia" w:hAnsiTheme="majorHAnsi" w:cstheme="majorBidi"/>
      <w:color w:val="365F91"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Mick</dc:creator>
  <cp:keywords/>
  <dc:description/>
  <cp:lastModifiedBy>Helen Shaddock (PGT)</cp:lastModifiedBy>
  <cp:revision>2</cp:revision>
  <dcterms:created xsi:type="dcterms:W3CDTF">2016-04-03T18:54:00Z</dcterms:created>
  <dcterms:modified xsi:type="dcterms:W3CDTF">2016-04-03T18:54:00Z</dcterms:modified>
</cp:coreProperties>
</file>